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7D" w:rsidRPr="004C76F3" w:rsidRDefault="00A5687D" w:rsidP="004C76F3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4C76F3">
        <w:rPr>
          <w:rFonts w:ascii="Times New Roman" w:hAnsi="Times New Roman"/>
          <w:b/>
          <w:iCs/>
          <w:sz w:val="24"/>
          <w:szCs w:val="24"/>
          <w:lang w:eastAsia="en-US"/>
        </w:rPr>
        <w:t>УТВЕРЖДАЮ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val="kk-KZ"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Главный врач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КГП на ПХВ «Многопрофильная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центральная районная больница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proofErr w:type="spellStart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Аягозского</w:t>
      </w:r>
      <w:proofErr w:type="spellEnd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района»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УЗ области Абай.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_______________Омаров Ш. Ж.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_________________ 2024 года</w:t>
      </w:r>
    </w:p>
    <w:p w:rsidR="00A5687D" w:rsidRPr="00FA3297" w:rsidRDefault="00A5687D" w:rsidP="00A5687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574D40" w:rsidRDefault="00574D40" w:rsidP="004C7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525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0544E7" w:rsidRPr="00E1547A" w:rsidRDefault="000544E7" w:rsidP="004C76F3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5127" w:type="dxa"/>
        <w:tblInd w:w="-289" w:type="dxa"/>
        <w:tblLayout w:type="fixed"/>
        <w:tblLook w:val="0000"/>
      </w:tblPr>
      <w:tblGrid>
        <w:gridCol w:w="850"/>
        <w:gridCol w:w="3646"/>
        <w:gridCol w:w="516"/>
        <w:gridCol w:w="2785"/>
        <w:gridCol w:w="5771"/>
        <w:gridCol w:w="1559"/>
      </w:tblGrid>
      <w:tr w:rsidR="00574D40" w:rsidRPr="006A4883" w:rsidTr="006A4883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</w:rPr>
              <w:br w:type="page"/>
            </w:r>
            <w:r w:rsidRPr="00BA655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C529F4" w:rsidRPr="006A4883" w:rsidTr="005533EA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A7544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A7544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:rsidR="00C529F4" w:rsidRPr="00BA6551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A7544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9F4" w:rsidRPr="00080444" w:rsidRDefault="003168AA" w:rsidP="00C529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СМАД (</w:t>
            </w:r>
            <w:r w:rsidR="00080444">
              <w:rPr>
                <w:rFonts w:ascii="Times New Roman" w:hAnsi="Times New Roman" w:cs="Times New Roman"/>
                <w:b/>
                <w:lang w:val="kk-KZ"/>
              </w:rPr>
              <w:t>Аппарат суточного мониторирования АД с ЭКГ</w:t>
            </w:r>
            <w:r>
              <w:rPr>
                <w:rFonts w:ascii="Times New Roman" w:hAnsi="Times New Roman" w:cs="Times New Roman"/>
                <w:b/>
                <w:lang w:val="kk-KZ"/>
              </w:rPr>
              <w:t>)</w:t>
            </w:r>
          </w:p>
        </w:tc>
      </w:tr>
      <w:tr w:rsidR="00C529F4" w:rsidRPr="006A4883" w:rsidTr="00C023B3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415A1" w:rsidRDefault="00C529F4" w:rsidP="00C529F4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№</w:t>
            </w:r>
          </w:p>
          <w:p w:rsidR="00C529F4" w:rsidRPr="00BA6551" w:rsidRDefault="00C529F4" w:rsidP="00C52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п/п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Наименование комплектующего к МИ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(в соответствии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с государственным реестром МИ)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Техническая характеристика комплектующего к 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317EE8" w:rsidRDefault="00C529F4" w:rsidP="00C529F4">
            <w:pPr>
              <w:spacing w:after="0"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C529F4" w:rsidRPr="00BA6551" w:rsidRDefault="00C529F4" w:rsidP="00C529F4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74D40" w:rsidRPr="006A4883" w:rsidTr="006A4883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6551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  <w:r w:rsidR="0015251A" w:rsidRPr="00BA6551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574D40" w:rsidRPr="006A4883" w:rsidTr="005126A1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1.</w:t>
            </w:r>
          </w:p>
          <w:p w:rsidR="00574D40" w:rsidRPr="00BA6551" w:rsidRDefault="00574D40" w:rsidP="00DB440A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4D40" w:rsidRPr="00BA6551" w:rsidRDefault="00574D40" w:rsidP="00DB44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080444" w:rsidRDefault="00080444" w:rsidP="000F7C34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080444">
              <w:rPr>
                <w:b/>
              </w:rPr>
              <w:t xml:space="preserve">Комплекс </w:t>
            </w:r>
            <w:proofErr w:type="gramStart"/>
            <w:r w:rsidRPr="00080444">
              <w:rPr>
                <w:b/>
              </w:rPr>
              <w:t>суточного</w:t>
            </w:r>
            <w:proofErr w:type="gramEnd"/>
            <w:r w:rsidRPr="00080444">
              <w:rPr>
                <w:b/>
              </w:rPr>
              <w:t xml:space="preserve"> </w:t>
            </w:r>
            <w:proofErr w:type="spellStart"/>
            <w:r w:rsidRPr="00080444">
              <w:rPr>
                <w:b/>
              </w:rPr>
              <w:t>мониторирования</w:t>
            </w:r>
            <w:proofErr w:type="spellEnd"/>
            <w:r w:rsidRPr="00080444">
              <w:rPr>
                <w:b/>
              </w:rPr>
              <w:t xml:space="preserve"> АД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444" w:rsidRPr="00425F7F" w:rsidRDefault="00080444" w:rsidP="00080444">
            <w:pPr>
              <w:pStyle w:val="TableParagraph"/>
              <w:jc w:val="both"/>
              <w:rPr>
                <w:lang w:val="ru-RU"/>
              </w:rPr>
            </w:pPr>
            <w:r w:rsidRPr="00425F7F">
              <w:rPr>
                <w:lang w:val="ru-RU"/>
              </w:rPr>
              <w:t xml:space="preserve">Комплекс суточного </w:t>
            </w:r>
            <w:proofErr w:type="spellStart"/>
            <w:r w:rsidRPr="00425F7F">
              <w:rPr>
                <w:lang w:val="ru-RU"/>
              </w:rPr>
              <w:t>мониторирования</w:t>
            </w:r>
            <w:proofErr w:type="spellEnd"/>
            <w:r w:rsidRPr="00425F7F">
              <w:rPr>
                <w:lang w:val="ru-RU"/>
              </w:rPr>
              <w:t xml:space="preserve"> АД предназначен для записи измерений показателей АД у пациента</w:t>
            </w:r>
            <w:r>
              <w:rPr>
                <w:lang w:val="ru-RU"/>
              </w:rPr>
              <w:t xml:space="preserve">                               </w:t>
            </w:r>
            <w:r w:rsidRPr="00425F7F">
              <w:rPr>
                <w:lang w:val="ru-RU"/>
              </w:rPr>
              <w:t xml:space="preserve">в течение не менее 24 часов,  хранения полученных данных в энергонезависимой памяти до  последующего их ввода в компьютер для обработки и формирования итогового документа. </w:t>
            </w:r>
          </w:p>
          <w:p w:rsidR="00080444" w:rsidRPr="00425F7F" w:rsidRDefault="00080444" w:rsidP="00080444">
            <w:pPr>
              <w:pStyle w:val="TableParagraph"/>
              <w:jc w:val="both"/>
              <w:rPr>
                <w:lang w:val="ru-RU"/>
              </w:rPr>
            </w:pPr>
            <w:r w:rsidRPr="00425F7F">
              <w:rPr>
                <w:shd w:val="clear" w:color="auto" w:fill="FFFFFF"/>
              </w:rPr>
              <w:t>Наличие сертификата об утверждении типа средств измерений.</w:t>
            </w:r>
            <w:r w:rsidRPr="00425F7F">
              <w:rPr>
                <w:rFonts w:ascii="Arial" w:hAnsi="Arial" w:cs="Arial"/>
              </w:rPr>
              <w:br/>
            </w:r>
            <w:r w:rsidRPr="00425F7F">
              <w:rPr>
                <w:shd w:val="clear" w:color="auto" w:fill="FFFFFF"/>
              </w:rPr>
              <w:t>Наличие Регистрационного</w:t>
            </w:r>
            <w:r>
              <w:rPr>
                <w:shd w:val="clear" w:color="auto" w:fill="FFFFFF"/>
              </w:rPr>
              <w:t xml:space="preserve"> </w:t>
            </w:r>
            <w:r w:rsidRPr="00425F7F">
              <w:rPr>
                <w:rStyle w:val="il"/>
                <w:shd w:val="clear" w:color="auto" w:fill="FFFFFF"/>
              </w:rPr>
              <w:t>Удостоверения</w:t>
            </w:r>
            <w:r>
              <w:rPr>
                <w:rStyle w:val="il"/>
                <w:shd w:val="clear" w:color="auto" w:fill="FFFFFF"/>
              </w:rPr>
              <w:t xml:space="preserve"> </w:t>
            </w:r>
            <w:r w:rsidRPr="00425F7F">
              <w:rPr>
                <w:shd w:val="clear" w:color="auto" w:fill="FFFFFF"/>
              </w:rPr>
              <w:t>Министерства</w:t>
            </w:r>
            <w:r>
              <w:rPr>
                <w:shd w:val="clear" w:color="auto" w:fill="FFFFFF"/>
              </w:rPr>
              <w:t xml:space="preserve"> </w:t>
            </w:r>
            <w:r w:rsidRPr="00425F7F">
              <w:rPr>
                <w:shd w:val="clear" w:color="auto" w:fill="FFFFFF"/>
              </w:rPr>
              <w:t>здравоохранения и социального развития Республики Казахстан.</w:t>
            </w:r>
          </w:p>
          <w:p w:rsidR="00080444" w:rsidRDefault="00080444" w:rsidP="00080444">
            <w:pPr>
              <w:pStyle w:val="TableParagraph"/>
              <w:jc w:val="both"/>
              <w:rPr>
                <w:lang w:val="ru-RU"/>
              </w:rPr>
            </w:pPr>
            <w:proofErr w:type="gramStart"/>
            <w:r w:rsidRPr="00425F7F">
              <w:rPr>
                <w:lang w:val="ru-RU"/>
              </w:rPr>
              <w:t>Регистратор</w:t>
            </w:r>
            <w:proofErr w:type="gramEnd"/>
            <w:r w:rsidRPr="00425F7F">
              <w:rPr>
                <w:lang w:val="ru-RU"/>
              </w:rPr>
              <w:t xml:space="preserve"> носимый для суточного </w:t>
            </w:r>
            <w:proofErr w:type="spellStart"/>
            <w:r w:rsidRPr="00425F7F">
              <w:rPr>
                <w:lang w:val="ru-RU"/>
              </w:rPr>
              <w:t>мониторирования</w:t>
            </w:r>
            <w:proofErr w:type="spellEnd"/>
            <w:r w:rsidRPr="00425F7F">
              <w:rPr>
                <w:lang w:val="ru-RU"/>
              </w:rPr>
              <w:t xml:space="preserve"> АД с измерением по осциллометрическому методу.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Диапазон измерения: в диапазоне 20-280 мм </w:t>
            </w:r>
            <w:proofErr w:type="spellStart"/>
            <w:r w:rsidRPr="00425F7F">
              <w:rPr>
                <w:lang w:val="ru-RU"/>
              </w:rPr>
              <w:t>рт</w:t>
            </w:r>
            <w:proofErr w:type="spellEnd"/>
            <w:r w:rsidRPr="00425F7F">
              <w:rPr>
                <w:lang w:val="ru-RU"/>
              </w:rPr>
              <w:t>. ст.,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Точность измерения: ±3 мм </w:t>
            </w:r>
            <w:proofErr w:type="spellStart"/>
            <w:r w:rsidRPr="00425F7F">
              <w:rPr>
                <w:lang w:val="ru-RU"/>
              </w:rPr>
              <w:t>рт</w:t>
            </w:r>
            <w:proofErr w:type="spellEnd"/>
            <w:r w:rsidRPr="00425F7F">
              <w:rPr>
                <w:lang w:val="ru-RU"/>
              </w:rPr>
              <w:t>. ст.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lastRenderedPageBreak/>
              <w:t>Метод измерения: осциллометрический;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Наличие дисплея ЖКИ для индикации: 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- результатов измерения;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- состояния аккумуляторов;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- сервисные функции.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Максимальная длительность </w:t>
            </w:r>
            <w:proofErr w:type="spellStart"/>
            <w:r w:rsidRPr="00425F7F">
              <w:rPr>
                <w:lang w:val="ru-RU"/>
              </w:rPr>
              <w:t>мониторирования</w:t>
            </w:r>
            <w:proofErr w:type="spellEnd"/>
            <w:r w:rsidRPr="00425F7F">
              <w:rPr>
                <w:lang w:val="ru-RU"/>
              </w:rPr>
              <w:t>: не менее 72 часов;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Максимальное программируемое число измерений: 600 измерений;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Напряжение постоянного тока (в режиме суточной записи):от 2.2 до 3,4</w:t>
            </w:r>
            <w:proofErr w:type="gramStart"/>
            <w:r w:rsidRPr="00425F7F">
              <w:rPr>
                <w:lang w:val="ru-RU"/>
              </w:rPr>
              <w:t xml:space="preserve"> В</w:t>
            </w:r>
            <w:proofErr w:type="gramEnd"/>
            <w:r w:rsidRPr="00425F7F">
              <w:rPr>
                <w:lang w:val="ru-RU"/>
              </w:rPr>
              <w:t>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Диапазон измерения давления в манжете: от 2,67 до 38,7 кПа (от 20 до 290 мм </w:t>
            </w:r>
            <w:proofErr w:type="spellStart"/>
            <w:r w:rsidRPr="00425F7F">
              <w:rPr>
                <w:lang w:val="ru-RU"/>
              </w:rPr>
              <w:t>рт.ст</w:t>
            </w:r>
            <w:proofErr w:type="spellEnd"/>
            <w:r w:rsidRPr="00425F7F">
              <w:rPr>
                <w:lang w:val="ru-RU"/>
              </w:rPr>
              <w:t>.);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Пределы допускаемой абсолютной погрешности измерения давления в </w:t>
            </w:r>
            <w:proofErr w:type="spellStart"/>
            <w:r w:rsidRPr="00425F7F">
              <w:rPr>
                <w:lang w:val="ru-RU"/>
              </w:rPr>
              <w:t>манжете:±</w:t>
            </w:r>
            <w:proofErr w:type="spellEnd"/>
            <w:r w:rsidRPr="00425F7F">
              <w:rPr>
                <w:lang w:val="ru-RU"/>
              </w:rPr>
              <w:t xml:space="preserve"> 0,4 кПа (± 3 мм </w:t>
            </w:r>
            <w:proofErr w:type="spellStart"/>
            <w:r w:rsidRPr="00425F7F">
              <w:rPr>
                <w:lang w:val="ru-RU"/>
              </w:rPr>
              <w:t>рт</w:t>
            </w:r>
            <w:proofErr w:type="gramStart"/>
            <w:r w:rsidRPr="00425F7F">
              <w:rPr>
                <w:lang w:val="ru-RU"/>
              </w:rPr>
              <w:t>.с</w:t>
            </w:r>
            <w:proofErr w:type="gramEnd"/>
            <w:r w:rsidRPr="00425F7F">
              <w:rPr>
                <w:lang w:val="ru-RU"/>
              </w:rPr>
              <w:t>т</w:t>
            </w:r>
            <w:proofErr w:type="spellEnd"/>
            <w:r w:rsidRPr="00425F7F">
              <w:rPr>
                <w:lang w:val="ru-RU"/>
              </w:rPr>
              <w:t>);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Скорость спада давления в манжете в режиме декомпрессии: от 0,3 до 0,7 кПа/с (от 2 до 5 мм </w:t>
            </w:r>
            <w:proofErr w:type="spellStart"/>
            <w:r w:rsidRPr="00425F7F">
              <w:rPr>
                <w:lang w:val="ru-RU"/>
              </w:rPr>
              <w:t>рт.ст</w:t>
            </w:r>
            <w:proofErr w:type="spellEnd"/>
            <w:r w:rsidRPr="00425F7F">
              <w:rPr>
                <w:lang w:val="ru-RU"/>
              </w:rPr>
              <w:t>./с);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Время быстрого сброса давления в манжете от уровня 34,7 до 2 кПа (от 260 до 15 мм </w:t>
            </w:r>
            <w:proofErr w:type="spellStart"/>
            <w:r w:rsidRPr="00425F7F">
              <w:rPr>
                <w:lang w:val="ru-RU"/>
              </w:rPr>
              <w:t>рт.ст</w:t>
            </w:r>
            <w:proofErr w:type="spellEnd"/>
            <w:r w:rsidRPr="00425F7F">
              <w:rPr>
                <w:lang w:val="ru-RU"/>
              </w:rPr>
              <w:t xml:space="preserve">.): 10 </w:t>
            </w:r>
            <w:proofErr w:type="gramStart"/>
            <w:r w:rsidRPr="00425F7F">
              <w:rPr>
                <w:lang w:val="ru-RU"/>
              </w:rPr>
              <w:t>с</w:t>
            </w:r>
            <w:proofErr w:type="gramEnd"/>
            <w:r w:rsidRPr="00425F7F">
              <w:rPr>
                <w:lang w:val="ru-RU"/>
              </w:rPr>
              <w:t>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Время непрерывной работы регистраторов</w:t>
            </w:r>
            <w:r>
              <w:rPr>
                <w:lang w:val="ru-RU"/>
              </w:rPr>
              <w:t>:</w:t>
            </w:r>
            <w:r w:rsidRPr="00425F7F">
              <w:rPr>
                <w:lang w:val="ru-RU"/>
              </w:rPr>
              <w:t xml:space="preserve"> 24 – 72 ч.</w:t>
            </w:r>
            <w:r w:rsidRPr="00425F7F">
              <w:rPr>
                <w:lang w:val="ru-RU"/>
              </w:rPr>
              <w:tab/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Время установления рабочего режима: 10 мин.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Время передачи суточной записи из регистратора в ПК: не более 3 мин.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Независимость результатов измерения от климатических условий;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Автоматическое определение типа манжеты (педиатрическая/большая);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Возможность установления пределов накачиваемого давления для взрослого и педиатрического режимов.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Энергонезависимая память для хранения данных;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Независимый аварийный канал для измерения и управления прибором, включая дополнительный датчик давления, усилитель, контроллер и схему управления клапанами и компрессором;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Бесступенчатое (непрерывное) стравливание воздуха из манжеты при измерении;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 xml:space="preserve">Функция </w:t>
            </w:r>
            <w:proofErr w:type="spellStart"/>
            <w:r w:rsidRPr="00425F7F">
              <w:rPr>
                <w:lang w:val="ru-RU"/>
              </w:rPr>
              <w:t>внеплановового</w:t>
            </w:r>
            <w:proofErr w:type="spellEnd"/>
            <w:r w:rsidRPr="00425F7F">
              <w:rPr>
                <w:lang w:val="ru-RU"/>
              </w:rPr>
              <w:t xml:space="preserve"> пуска и остановки измерения;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Способ передачи данных на ПК при разгрузке монитора АД: беспроводной.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lastRenderedPageBreak/>
              <w:t>Хранение осциллограмм  по каждому измерению в памяти; просмотр осциллограмм пульсаций давления в манжете; верификация измерений.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Индивидуальные настройки пользователя, создание индивидуальных планов суточного измерения: ночного, дневного, специальных периодов и интервалов.</w:t>
            </w:r>
          </w:p>
          <w:p w:rsidR="00080444" w:rsidRPr="00425F7F" w:rsidRDefault="00080444" w:rsidP="00080444">
            <w:pPr>
              <w:pStyle w:val="TableParagraph"/>
              <w:rPr>
                <w:lang w:val="ru-RU"/>
              </w:rPr>
            </w:pPr>
            <w:r w:rsidRPr="00425F7F">
              <w:rPr>
                <w:lang w:val="ru-RU"/>
              </w:rPr>
              <w:t>Вес: 180 грамм.</w:t>
            </w:r>
          </w:p>
          <w:p w:rsidR="002C648A" w:rsidRPr="00BA6551" w:rsidRDefault="00080444" w:rsidP="003B7429">
            <w:pPr>
              <w:rPr>
                <w:rFonts w:ascii="Times New Roman" w:hAnsi="Times New Roman" w:cs="Times New Roman"/>
              </w:rPr>
            </w:pPr>
            <w:r w:rsidRPr="00080444">
              <w:rPr>
                <w:rFonts w:ascii="Times New Roman" w:eastAsia="Times New Roman" w:hAnsi="Times New Roman" w:cs="Times New Roman"/>
                <w:lang w:eastAsia="kk-KZ" w:bidi="kk-KZ"/>
              </w:rPr>
              <w:t xml:space="preserve">Габариты: </w:t>
            </w:r>
            <w:r w:rsidRPr="00080444">
              <w:rPr>
                <w:rFonts w:ascii="Times New Roman" w:eastAsia="Times New Roman" w:hAnsi="Times New Roman" w:cs="Times New Roman"/>
                <w:b/>
                <w:lang w:eastAsia="kk-KZ" w:bidi="kk-KZ"/>
              </w:rPr>
              <w:t xml:space="preserve">135 </w:t>
            </w:r>
            <w:proofErr w:type="spellStart"/>
            <w:r w:rsidRPr="00080444">
              <w:rPr>
                <w:rFonts w:ascii="Times New Roman" w:eastAsia="Times New Roman" w:hAnsi="Times New Roman" w:cs="Times New Roman"/>
                <w:b/>
                <w:lang w:eastAsia="kk-KZ" w:bidi="kk-KZ"/>
              </w:rPr>
              <w:t>х</w:t>
            </w:r>
            <w:proofErr w:type="spellEnd"/>
            <w:r w:rsidRPr="00080444">
              <w:rPr>
                <w:rFonts w:ascii="Times New Roman" w:eastAsia="Times New Roman" w:hAnsi="Times New Roman" w:cs="Times New Roman"/>
                <w:b/>
                <w:lang w:eastAsia="kk-KZ" w:bidi="kk-KZ"/>
              </w:rPr>
              <w:t xml:space="preserve"> 70 </w:t>
            </w:r>
            <w:proofErr w:type="spellStart"/>
            <w:r w:rsidRPr="00080444">
              <w:rPr>
                <w:rFonts w:ascii="Times New Roman" w:eastAsia="Times New Roman" w:hAnsi="Times New Roman" w:cs="Times New Roman"/>
                <w:b/>
                <w:lang w:eastAsia="kk-KZ" w:bidi="kk-KZ"/>
              </w:rPr>
              <w:t>х</w:t>
            </w:r>
            <w:proofErr w:type="spellEnd"/>
            <w:r w:rsidRPr="00080444">
              <w:rPr>
                <w:rFonts w:ascii="Times New Roman" w:eastAsia="Times New Roman" w:hAnsi="Times New Roman" w:cs="Times New Roman"/>
                <w:b/>
                <w:lang w:eastAsia="kk-KZ" w:bidi="kk-KZ"/>
              </w:rPr>
              <w:t xml:space="preserve"> 25 мм.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D40" w:rsidRPr="00BA6551" w:rsidRDefault="00BF74AA" w:rsidP="009C7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</w:t>
            </w:r>
            <w:r w:rsidR="005126A1" w:rsidRPr="00BA6551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6A4883" w:rsidRPr="006A4883" w:rsidTr="006A4883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883" w:rsidRPr="00A5687D" w:rsidRDefault="005126A1" w:rsidP="00A56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5687D">
              <w:rPr>
                <w:rFonts w:ascii="Times New Roman" w:hAnsi="Times New Roman" w:cs="Times New Roman"/>
                <w:b/>
                <w:i/>
              </w:rPr>
              <w:t>Дополнительные комплектующие:</w:t>
            </w:r>
          </w:p>
        </w:tc>
      </w:tr>
      <w:tr w:rsidR="006A4883" w:rsidRPr="00B47E87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4B3000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883" w:rsidRPr="00BF74AA" w:rsidRDefault="00BF74AA" w:rsidP="00220817">
            <w:pPr>
              <w:pStyle w:val="a8"/>
              <w:rPr>
                <w:rFonts w:ascii="Times New Roman" w:eastAsia="Times New Roman" w:hAnsi="Times New Roman" w:cs="Times New Roman"/>
                <w:lang w:eastAsia="kk-KZ" w:bidi="kk-KZ"/>
              </w:rPr>
            </w:pPr>
            <w:r w:rsidRPr="00BF74AA">
              <w:rPr>
                <w:rFonts w:ascii="Times New Roman" w:eastAsia="Times New Roman" w:hAnsi="Times New Roman" w:cs="Times New Roman"/>
                <w:lang w:eastAsia="kk-KZ" w:bidi="kk-KZ"/>
              </w:rPr>
              <w:t>Блок сопряжения регистратора АД с ПК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883" w:rsidRPr="00E46CD0" w:rsidRDefault="00BF74AA" w:rsidP="00316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DB2ED8" w:rsidRPr="00E46CD0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F74AA" w:rsidRDefault="00BF74AA" w:rsidP="00DB2ED8">
            <w:pPr>
              <w:pStyle w:val="a8"/>
              <w:rPr>
                <w:rFonts w:ascii="Times New Roman" w:eastAsia="Times New Roman" w:hAnsi="Times New Roman" w:cs="Times New Roman"/>
                <w:lang w:eastAsia="kk-KZ" w:bidi="kk-KZ"/>
              </w:rPr>
            </w:pPr>
            <w:r w:rsidRPr="00BF74AA">
              <w:rPr>
                <w:rFonts w:ascii="Times New Roman" w:eastAsia="Times New Roman" w:hAnsi="Times New Roman" w:cs="Times New Roman"/>
                <w:lang w:eastAsia="kk-KZ" w:bidi="kk-KZ"/>
              </w:rPr>
              <w:t xml:space="preserve">Чехол защитный регистратора АД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BF74AA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DB2ED8" w:rsidRPr="00E46CD0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BF74AA" w:rsidRPr="006A4883" w:rsidTr="006C40E4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BA655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4AA" w:rsidRPr="00E47DAC" w:rsidRDefault="00BF74AA" w:rsidP="00991695">
            <w:pPr>
              <w:pStyle w:val="TableParagraph"/>
              <w:rPr>
                <w:lang w:val="ru-RU"/>
              </w:rPr>
            </w:pPr>
            <w:r w:rsidRPr="00BF74AA">
              <w:rPr>
                <w:lang w:val="ru-RU"/>
              </w:rPr>
              <w:t>Устройство зарядное АД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4AA" w:rsidRDefault="00BF74AA" w:rsidP="00BF74AA">
            <w:pPr>
              <w:jc w:val="center"/>
            </w:pPr>
            <w:r w:rsidRPr="0089517D">
              <w:rPr>
                <w:rFonts w:ascii="Times New Roman" w:hAnsi="Times New Roman" w:cs="Times New Roman"/>
                <w:lang w:val="kk-KZ"/>
              </w:rPr>
              <w:t>2</w:t>
            </w:r>
            <w:r w:rsidRPr="0089517D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BF74AA" w:rsidRPr="006A4883" w:rsidTr="006C40E4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4AA" w:rsidRPr="00425F7F" w:rsidRDefault="00BF74AA" w:rsidP="00991695">
            <w:pPr>
              <w:pStyle w:val="TableParagraph"/>
              <w:rPr>
                <w:lang w:val="ru-RU"/>
              </w:rPr>
            </w:pPr>
            <w:r w:rsidRPr="00BF74AA">
              <w:rPr>
                <w:lang w:val="ru-RU"/>
              </w:rPr>
              <w:t>Манжета взрослая т</w:t>
            </w:r>
            <w:r w:rsidRPr="00425F7F"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4AA" w:rsidRDefault="00BF74AA" w:rsidP="00BF74AA">
            <w:pPr>
              <w:jc w:val="center"/>
            </w:pPr>
            <w:r w:rsidRPr="0089517D">
              <w:rPr>
                <w:rFonts w:ascii="Times New Roman" w:hAnsi="Times New Roman" w:cs="Times New Roman"/>
                <w:lang w:val="kk-KZ"/>
              </w:rPr>
              <w:t>2</w:t>
            </w:r>
            <w:r w:rsidRPr="0089517D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BF74AA" w:rsidRPr="006A4883" w:rsidTr="006C40E4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4AA" w:rsidRPr="00425F7F" w:rsidRDefault="00BF74AA" w:rsidP="00991695">
            <w:pPr>
              <w:pStyle w:val="TableParagraph"/>
              <w:rPr>
                <w:lang w:val="ru-RU"/>
              </w:rPr>
            </w:pPr>
            <w:r w:rsidRPr="00BF74AA">
              <w:rPr>
                <w:lang w:val="ru-RU"/>
              </w:rPr>
              <w:t>Манжета взрослая т</w:t>
            </w:r>
            <w:r w:rsidRPr="00425F7F">
              <w:rPr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4AA" w:rsidRDefault="00BF74AA" w:rsidP="00BF74AA">
            <w:pPr>
              <w:jc w:val="center"/>
            </w:pPr>
            <w:r w:rsidRPr="0089517D">
              <w:rPr>
                <w:rFonts w:ascii="Times New Roman" w:hAnsi="Times New Roman" w:cs="Times New Roman"/>
                <w:lang w:val="kk-KZ"/>
              </w:rPr>
              <w:t>2</w:t>
            </w:r>
            <w:r w:rsidRPr="0089517D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BF74AA" w:rsidRPr="006A4883" w:rsidTr="006C40E4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74AA" w:rsidRPr="00BA6551" w:rsidRDefault="00BF74AA" w:rsidP="00DB2ED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4AA" w:rsidRPr="00E47DAC" w:rsidRDefault="00BF74AA" w:rsidP="00991695">
            <w:pPr>
              <w:pStyle w:val="TableParagraph"/>
              <w:rPr>
                <w:lang w:val="ru-RU"/>
              </w:rPr>
            </w:pPr>
            <w:r w:rsidRPr="00BF74AA">
              <w:rPr>
                <w:lang w:val="ru-RU"/>
              </w:rPr>
              <w:t>Трубки удлинительные с переходниками</w:t>
            </w:r>
            <w:r>
              <w:rPr>
                <w:lang w:val="ru-RU"/>
              </w:rPr>
              <w:t>-1 комплект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4AA" w:rsidRDefault="00BF74AA" w:rsidP="00BF74AA">
            <w:pPr>
              <w:jc w:val="center"/>
            </w:pPr>
            <w:r w:rsidRPr="0089517D">
              <w:rPr>
                <w:rFonts w:ascii="Times New Roman" w:hAnsi="Times New Roman" w:cs="Times New Roman"/>
                <w:lang w:val="kk-KZ"/>
              </w:rPr>
              <w:t>2</w:t>
            </w:r>
            <w:r w:rsidRPr="0089517D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0C5B23" w:rsidRPr="006A4883" w:rsidTr="006A488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6551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23" w:rsidRDefault="00E255C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en-US"/>
              </w:rPr>
              <w:t>Температура окружающего воздуха, С  от  10 до 45</w:t>
            </w:r>
          </w:p>
          <w:p w:rsidR="00E255C3" w:rsidRPr="00E255C3" w:rsidRDefault="00E255C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en-US"/>
              </w:rPr>
              <w:t xml:space="preserve">Относительная влажность, без конденсации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% от 10 до 95</w:t>
            </w:r>
          </w:p>
          <w:p w:rsidR="000C5B23" w:rsidRPr="00BA6551" w:rsidRDefault="000C5B2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  <w:tr w:rsidR="000C5B23" w:rsidRPr="006A4883" w:rsidTr="009D317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  <w:b/>
              </w:rPr>
              <w:t xml:space="preserve">Условия осуществления поставки МИ </w:t>
            </w:r>
          </w:p>
          <w:p w:rsidR="000C5B23" w:rsidRPr="00BA6551" w:rsidRDefault="000C5B23" w:rsidP="000C5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D4" w:rsidRPr="000544E7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</w:pPr>
            <w:r w:rsidRPr="000544E7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DDP пункт назначения</w:t>
            </w:r>
          </w:p>
          <w:p w:rsidR="00A05DD4" w:rsidRPr="00A05DD4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0C5B23" w:rsidRPr="000544E7" w:rsidRDefault="00A05DD4" w:rsidP="0005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КГП на ПХВ «Многопрофильная центральная районная больница </w:t>
            </w:r>
            <w:proofErr w:type="spellStart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Аягозского</w:t>
            </w:r>
            <w:proofErr w:type="spellEnd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района» УЗ</w:t>
            </w:r>
            <w:r w:rsid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области Абай,</w:t>
            </w:r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ул. Рахимова, 1, 070200, г. </w:t>
            </w:r>
            <w:proofErr w:type="spellStart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Аягоз</w:t>
            </w:r>
            <w:proofErr w:type="spellEnd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    (</w:t>
            </w:r>
            <w:r w:rsidR="003B7429" w:rsidRPr="000544E7">
              <w:rPr>
                <w:rFonts w:ascii="Times New Roman" w:eastAsia="Times New Roman" w:hAnsi="Times New Roman" w:cs="Times New Roman"/>
                <w:b/>
                <w:color w:val="000000"/>
                <w:lang w:val="kk-KZ" w:eastAsia="en-US"/>
              </w:rPr>
              <w:t>2</w:t>
            </w:r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единиц)</w:t>
            </w:r>
          </w:p>
        </w:tc>
      </w:tr>
      <w:tr w:rsidR="004C76F3" w:rsidRPr="006A4883" w:rsidTr="00112D42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Срок поставки МИ и место дислокации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6F3" w:rsidRPr="00241E18" w:rsidRDefault="00BF74AA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b/>
                <w:color w:val="FF0000"/>
                <w:sz w:val="24"/>
                <w:szCs w:val="24"/>
                <w:lang w:val="kk-KZ"/>
              </w:rPr>
              <w:t>С</w:t>
            </w:r>
            <w:r w:rsidR="004C76F3" w:rsidRPr="00241E18">
              <w:rPr>
                <w:b/>
                <w:color w:val="FF0000"/>
                <w:sz w:val="24"/>
                <w:szCs w:val="24"/>
              </w:rPr>
              <w:t>о дня подписания Договор</w:t>
            </w:r>
            <w:r w:rsidR="004C76F3" w:rsidRPr="00241E18">
              <w:rPr>
                <w:b/>
                <w:color w:val="FF0000"/>
                <w:sz w:val="24"/>
                <w:szCs w:val="24"/>
                <w:lang w:val="kk-KZ"/>
              </w:rPr>
              <w:t>а</w:t>
            </w:r>
            <w:r>
              <w:rPr>
                <w:b/>
                <w:color w:val="FF0000"/>
                <w:sz w:val="24"/>
                <w:szCs w:val="24"/>
                <w:lang w:val="kk-KZ"/>
              </w:rPr>
              <w:t xml:space="preserve"> до 10 декабря 2024 г. </w:t>
            </w:r>
          </w:p>
          <w:p w:rsidR="004C76F3" w:rsidRPr="00FA3297" w:rsidRDefault="004C76F3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C76F3" w:rsidRPr="006A4883" w:rsidTr="006A4883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A6551">
              <w:rPr>
                <w:rFonts w:ascii="Times New Roman" w:hAnsi="Times New Roman" w:cs="Times New Roman"/>
              </w:rPr>
              <w:t>Гарантийное сервисное обслуживание МИ не менее 37 месяцев</w:t>
            </w:r>
            <w:r w:rsidRPr="00BA6551">
              <w:rPr>
                <w:rFonts w:ascii="Times New Roman" w:hAnsi="Times New Roman" w:cs="Times New Roman"/>
                <w:i/>
              </w:rPr>
              <w:t>.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замене или восстановлении отдельных частей МИ;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76F3" w:rsidRPr="00BA6551" w:rsidRDefault="004C76F3" w:rsidP="003B74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lastRenderedPageBreak/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4C76F3" w:rsidRPr="004C76F3" w:rsidRDefault="004C76F3" w:rsidP="004C76F3">
      <w:pPr>
        <w:ind w:right="-172" w:firstLine="720"/>
        <w:jc w:val="both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lastRenderedPageBreak/>
        <w:t xml:space="preserve">Товары должны быть новыми и ранее неиспользованными, при этом поставщик принимает на себя обязательства по предоставлению медицинской техники, произведенной не позднее двадцати четырех месяцев к моменту поставки.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языке. Ввоз и реализация Товаров должны осуществляться в соответствии с законодательством Республики Казахстан.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данной таблицы. Программное обеспечение, поставляемое с приборами должно быть совместимым с программным обеспечением установленного оборудования конечного получателя. Поставщик обязан обеспечить сопровождение процесса поставки товара квалифицированными специалистами, имеющими документальное подтверждение на обучение персонала для работы на данном товаре, установку, наладку и подключение товара. Поставщик обязан в течение 10 (десяти) календарных дней </w:t>
      </w:r>
      <w:proofErr w:type="gramStart"/>
      <w:r w:rsidRPr="004C76F3">
        <w:rPr>
          <w:rFonts w:ascii="Times New Roman" w:hAnsi="Times New Roman" w:cs="Times New Roman"/>
        </w:rPr>
        <w:t>с даты подписания</w:t>
      </w:r>
      <w:proofErr w:type="gramEnd"/>
      <w:r w:rsidRPr="004C76F3">
        <w:rPr>
          <w:rFonts w:ascii="Times New Roman" w:hAnsi="Times New Roman" w:cs="Times New Roman"/>
        </w:rPr>
        <w:t xml:space="preserve"> акта приема –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обслуживания. </w:t>
      </w:r>
    </w:p>
    <w:p w:rsidR="004C76F3" w:rsidRPr="004C76F3" w:rsidRDefault="004C76F3" w:rsidP="004C76F3">
      <w:pPr>
        <w:ind w:right="-172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t xml:space="preserve">Дополнительно согласовано со следующими специалистами КГП на ПХВ «Многопрофильная центральная районная больница </w:t>
      </w:r>
      <w:proofErr w:type="spellStart"/>
      <w:r w:rsidRPr="004C76F3">
        <w:rPr>
          <w:rFonts w:ascii="Times New Roman" w:hAnsi="Times New Roman" w:cs="Times New Roman"/>
        </w:rPr>
        <w:t>Аягозского</w:t>
      </w:r>
      <w:proofErr w:type="spellEnd"/>
      <w:r w:rsidRPr="004C76F3">
        <w:rPr>
          <w:rFonts w:ascii="Times New Roman" w:hAnsi="Times New Roman" w:cs="Times New Roman"/>
        </w:rPr>
        <w:t xml:space="preserve"> района» УЗ области Абай:</w:t>
      </w:r>
    </w:p>
    <w:tbl>
      <w:tblPr>
        <w:tblStyle w:val="af4"/>
        <w:tblW w:w="0" w:type="auto"/>
        <w:jc w:val="center"/>
        <w:tblLook w:val="04A0"/>
      </w:tblPr>
      <w:tblGrid>
        <w:gridCol w:w="3298"/>
        <w:gridCol w:w="2594"/>
        <w:gridCol w:w="3679"/>
      </w:tblGrid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Искаков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А. С.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4C76F3" w:rsidRDefault="004C76F3" w:rsidP="004C76F3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Врач кардиолог</w:t>
            </w:r>
          </w:p>
        </w:tc>
        <w:tc>
          <w:tcPr>
            <w:tcW w:w="2594" w:type="dxa"/>
          </w:tcPr>
          <w:p w:rsidR="004C76F3" w:rsidRPr="00FA3297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4C76F3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Омарова С. Т.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Default="004C76F3" w:rsidP="004C76F3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Зав. поликлиники</w:t>
            </w:r>
          </w:p>
        </w:tc>
        <w:tc>
          <w:tcPr>
            <w:tcW w:w="2594" w:type="dxa"/>
          </w:tcPr>
          <w:p w:rsidR="004C76F3" w:rsidRPr="00FA3297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Турмухатемова И. А. </w:t>
            </w:r>
          </w:p>
        </w:tc>
      </w:tr>
      <w:tr w:rsidR="004C76F3" w:rsidRPr="00FA3297" w:rsidTr="004C76F3">
        <w:trPr>
          <w:trHeight w:val="615"/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Главная медсестра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Бургумбаева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Г. К.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FFFFFF" w:themeFill="background1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Шалова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Ж. Б.</w:t>
            </w:r>
          </w:p>
        </w:tc>
      </w:tr>
    </w:tbl>
    <w:p w:rsidR="0008474E" w:rsidRDefault="0008474E"/>
    <w:sectPr w:rsidR="0008474E" w:rsidSect="00BA65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D0E"/>
    <w:multiLevelType w:val="hybridMultilevel"/>
    <w:tmpl w:val="986C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125B1"/>
    <w:multiLevelType w:val="hybridMultilevel"/>
    <w:tmpl w:val="233E4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145C7"/>
    <w:multiLevelType w:val="hybridMultilevel"/>
    <w:tmpl w:val="4EA47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95FEA"/>
    <w:multiLevelType w:val="hybridMultilevel"/>
    <w:tmpl w:val="DF3EE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73F33"/>
    <w:multiLevelType w:val="hybridMultilevel"/>
    <w:tmpl w:val="C6E254D8"/>
    <w:lvl w:ilvl="0" w:tplc="837E12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00215"/>
    <w:multiLevelType w:val="hybridMultilevel"/>
    <w:tmpl w:val="25BC2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349B8"/>
    <w:multiLevelType w:val="hybridMultilevel"/>
    <w:tmpl w:val="A912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F7C56"/>
    <w:multiLevelType w:val="hybridMultilevel"/>
    <w:tmpl w:val="7D06BFEA"/>
    <w:lvl w:ilvl="0" w:tplc="88A6D6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5B35"/>
    <w:multiLevelType w:val="hybridMultilevel"/>
    <w:tmpl w:val="14CC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63042"/>
    <w:multiLevelType w:val="hybridMultilevel"/>
    <w:tmpl w:val="02840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569E9"/>
    <w:multiLevelType w:val="hybridMultilevel"/>
    <w:tmpl w:val="A548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880"/>
    <w:multiLevelType w:val="hybridMultilevel"/>
    <w:tmpl w:val="A912C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83D56"/>
    <w:multiLevelType w:val="hybridMultilevel"/>
    <w:tmpl w:val="93548CF0"/>
    <w:lvl w:ilvl="0" w:tplc="6DA823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020B2"/>
    <w:multiLevelType w:val="hybridMultilevel"/>
    <w:tmpl w:val="F3187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01BE6"/>
    <w:multiLevelType w:val="hybridMultilevel"/>
    <w:tmpl w:val="D5D6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23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877EF"/>
    <w:multiLevelType w:val="hybridMultilevel"/>
    <w:tmpl w:val="E0DE5D7E"/>
    <w:lvl w:ilvl="0" w:tplc="7472C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45499"/>
    <w:multiLevelType w:val="hybridMultilevel"/>
    <w:tmpl w:val="087A7C64"/>
    <w:lvl w:ilvl="0" w:tplc="F5E02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977DB"/>
    <w:multiLevelType w:val="multilevel"/>
    <w:tmpl w:val="9B94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DB1F74"/>
    <w:multiLevelType w:val="hybridMultilevel"/>
    <w:tmpl w:val="DC22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37AF0"/>
    <w:multiLevelType w:val="hybridMultilevel"/>
    <w:tmpl w:val="BF046C68"/>
    <w:lvl w:ilvl="0" w:tplc="0FEE7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C5B49"/>
    <w:multiLevelType w:val="hybridMultilevel"/>
    <w:tmpl w:val="836A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22E4F"/>
    <w:multiLevelType w:val="hybridMultilevel"/>
    <w:tmpl w:val="BB8EB9D0"/>
    <w:lvl w:ilvl="0" w:tplc="0CFC9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62C82"/>
    <w:multiLevelType w:val="hybridMultilevel"/>
    <w:tmpl w:val="4AB6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C5999"/>
    <w:multiLevelType w:val="hybridMultilevel"/>
    <w:tmpl w:val="A9D49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8D3C1C"/>
    <w:multiLevelType w:val="hybridMultilevel"/>
    <w:tmpl w:val="61D6D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51EB8"/>
    <w:multiLevelType w:val="hybridMultilevel"/>
    <w:tmpl w:val="8FB8F286"/>
    <w:lvl w:ilvl="0" w:tplc="F7EE2F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A304B"/>
    <w:multiLevelType w:val="hybridMultilevel"/>
    <w:tmpl w:val="F322E7F8"/>
    <w:lvl w:ilvl="0" w:tplc="E08E5D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015E91"/>
    <w:multiLevelType w:val="hybridMultilevel"/>
    <w:tmpl w:val="30545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27F8C"/>
    <w:multiLevelType w:val="hybridMultilevel"/>
    <w:tmpl w:val="ED1E206E"/>
    <w:lvl w:ilvl="0" w:tplc="59403F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4205B"/>
    <w:multiLevelType w:val="hybridMultilevel"/>
    <w:tmpl w:val="489863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F746D0"/>
    <w:multiLevelType w:val="hybridMultilevel"/>
    <w:tmpl w:val="97B4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97FD9"/>
    <w:multiLevelType w:val="hybridMultilevel"/>
    <w:tmpl w:val="0D2EE59E"/>
    <w:lvl w:ilvl="0" w:tplc="4F90A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D1930"/>
    <w:multiLevelType w:val="hybridMultilevel"/>
    <w:tmpl w:val="DD941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113EBB"/>
    <w:multiLevelType w:val="hybridMultilevel"/>
    <w:tmpl w:val="9EC6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5">
    <w:nsid w:val="6C845AA3"/>
    <w:multiLevelType w:val="hybridMultilevel"/>
    <w:tmpl w:val="4FB65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26640"/>
    <w:multiLevelType w:val="hybridMultilevel"/>
    <w:tmpl w:val="FC96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A2328"/>
    <w:multiLevelType w:val="hybridMultilevel"/>
    <w:tmpl w:val="000E6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3425D"/>
    <w:multiLevelType w:val="hybridMultilevel"/>
    <w:tmpl w:val="51E8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E1728"/>
    <w:multiLevelType w:val="hybridMultilevel"/>
    <w:tmpl w:val="04BE3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218B3"/>
    <w:multiLevelType w:val="hybridMultilevel"/>
    <w:tmpl w:val="B5724DCC"/>
    <w:lvl w:ilvl="0" w:tplc="762AB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85A3F"/>
    <w:multiLevelType w:val="hybridMultilevel"/>
    <w:tmpl w:val="F4BC8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"/>
  </w:num>
  <w:num w:numId="4">
    <w:abstractNumId w:val="38"/>
  </w:num>
  <w:num w:numId="5">
    <w:abstractNumId w:val="24"/>
  </w:num>
  <w:num w:numId="6">
    <w:abstractNumId w:val="13"/>
  </w:num>
  <w:num w:numId="7">
    <w:abstractNumId w:val="32"/>
  </w:num>
  <w:num w:numId="8">
    <w:abstractNumId w:val="11"/>
  </w:num>
  <w:num w:numId="9">
    <w:abstractNumId w:val="10"/>
  </w:num>
  <w:num w:numId="10">
    <w:abstractNumId w:val="0"/>
  </w:num>
  <w:num w:numId="11">
    <w:abstractNumId w:val="5"/>
  </w:num>
  <w:num w:numId="12">
    <w:abstractNumId w:val="39"/>
  </w:num>
  <w:num w:numId="13">
    <w:abstractNumId w:val="22"/>
  </w:num>
  <w:num w:numId="14">
    <w:abstractNumId w:val="9"/>
  </w:num>
  <w:num w:numId="15">
    <w:abstractNumId w:val="20"/>
  </w:num>
  <w:num w:numId="16">
    <w:abstractNumId w:val="37"/>
  </w:num>
  <w:num w:numId="17">
    <w:abstractNumId w:val="8"/>
  </w:num>
  <w:num w:numId="18">
    <w:abstractNumId w:val="2"/>
  </w:num>
  <w:num w:numId="19">
    <w:abstractNumId w:val="27"/>
  </w:num>
  <w:num w:numId="20">
    <w:abstractNumId w:val="3"/>
  </w:num>
  <w:num w:numId="21">
    <w:abstractNumId w:val="6"/>
  </w:num>
  <w:num w:numId="22">
    <w:abstractNumId w:val="33"/>
  </w:num>
  <w:num w:numId="23">
    <w:abstractNumId w:val="36"/>
  </w:num>
  <w:num w:numId="24">
    <w:abstractNumId w:val="30"/>
  </w:num>
  <w:num w:numId="25">
    <w:abstractNumId w:val="35"/>
  </w:num>
  <w:num w:numId="26">
    <w:abstractNumId w:val="41"/>
  </w:num>
  <w:num w:numId="27">
    <w:abstractNumId w:val="23"/>
  </w:num>
  <w:num w:numId="28">
    <w:abstractNumId w:val="17"/>
  </w:num>
  <w:num w:numId="29">
    <w:abstractNumId w:val="18"/>
  </w:num>
  <w:num w:numId="30">
    <w:abstractNumId w:val="16"/>
  </w:num>
  <w:num w:numId="31">
    <w:abstractNumId w:val="31"/>
  </w:num>
  <w:num w:numId="32">
    <w:abstractNumId w:val="4"/>
  </w:num>
  <w:num w:numId="33">
    <w:abstractNumId w:val="12"/>
  </w:num>
  <w:num w:numId="34">
    <w:abstractNumId w:val="28"/>
  </w:num>
  <w:num w:numId="35">
    <w:abstractNumId w:val="25"/>
  </w:num>
  <w:num w:numId="36">
    <w:abstractNumId w:val="40"/>
  </w:num>
  <w:num w:numId="37">
    <w:abstractNumId w:val="26"/>
  </w:num>
  <w:num w:numId="38">
    <w:abstractNumId w:val="15"/>
  </w:num>
  <w:num w:numId="39">
    <w:abstractNumId w:val="7"/>
  </w:num>
  <w:num w:numId="40">
    <w:abstractNumId w:val="19"/>
  </w:num>
  <w:num w:numId="41">
    <w:abstractNumId w:val="21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D40"/>
    <w:rsid w:val="00007660"/>
    <w:rsid w:val="00011DB8"/>
    <w:rsid w:val="000434B2"/>
    <w:rsid w:val="000544E7"/>
    <w:rsid w:val="00080444"/>
    <w:rsid w:val="0008474E"/>
    <w:rsid w:val="000907FC"/>
    <w:rsid w:val="000C5B23"/>
    <w:rsid w:val="000F69B4"/>
    <w:rsid w:val="000F7C34"/>
    <w:rsid w:val="0011198A"/>
    <w:rsid w:val="00125A12"/>
    <w:rsid w:val="0015251A"/>
    <w:rsid w:val="00190305"/>
    <w:rsid w:val="001E0FCB"/>
    <w:rsid w:val="002050C7"/>
    <w:rsid w:val="00220817"/>
    <w:rsid w:val="00220E44"/>
    <w:rsid w:val="00241E18"/>
    <w:rsid w:val="00247C0B"/>
    <w:rsid w:val="002C0796"/>
    <w:rsid w:val="002C598E"/>
    <w:rsid w:val="002C648A"/>
    <w:rsid w:val="002F38AA"/>
    <w:rsid w:val="003166C0"/>
    <w:rsid w:val="003168AA"/>
    <w:rsid w:val="00345389"/>
    <w:rsid w:val="00360545"/>
    <w:rsid w:val="00380C95"/>
    <w:rsid w:val="003B7429"/>
    <w:rsid w:val="003C3A65"/>
    <w:rsid w:val="003F6B53"/>
    <w:rsid w:val="003F77F5"/>
    <w:rsid w:val="004A4CC0"/>
    <w:rsid w:val="004B3000"/>
    <w:rsid w:val="004C76F3"/>
    <w:rsid w:val="005079FB"/>
    <w:rsid w:val="005126A1"/>
    <w:rsid w:val="00574C01"/>
    <w:rsid w:val="00574D40"/>
    <w:rsid w:val="005879D9"/>
    <w:rsid w:val="005A188E"/>
    <w:rsid w:val="005B213A"/>
    <w:rsid w:val="005E73C3"/>
    <w:rsid w:val="00621FC9"/>
    <w:rsid w:val="00642FD7"/>
    <w:rsid w:val="00650A38"/>
    <w:rsid w:val="00655525"/>
    <w:rsid w:val="006A4883"/>
    <w:rsid w:val="00700398"/>
    <w:rsid w:val="00704F0B"/>
    <w:rsid w:val="00732BE0"/>
    <w:rsid w:val="00787952"/>
    <w:rsid w:val="007F55A0"/>
    <w:rsid w:val="00804E52"/>
    <w:rsid w:val="0084388D"/>
    <w:rsid w:val="00846B4C"/>
    <w:rsid w:val="0085449F"/>
    <w:rsid w:val="008B4109"/>
    <w:rsid w:val="009A2F8F"/>
    <w:rsid w:val="009A7807"/>
    <w:rsid w:val="009C0E27"/>
    <w:rsid w:val="009C74BA"/>
    <w:rsid w:val="009D0FE8"/>
    <w:rsid w:val="009D3173"/>
    <w:rsid w:val="009E163E"/>
    <w:rsid w:val="009E79E3"/>
    <w:rsid w:val="00A05DD4"/>
    <w:rsid w:val="00A24817"/>
    <w:rsid w:val="00A37297"/>
    <w:rsid w:val="00A5687D"/>
    <w:rsid w:val="00A873F0"/>
    <w:rsid w:val="00AA77E4"/>
    <w:rsid w:val="00B13C3D"/>
    <w:rsid w:val="00B47E87"/>
    <w:rsid w:val="00B9561C"/>
    <w:rsid w:val="00BA6551"/>
    <w:rsid w:val="00BC58E8"/>
    <w:rsid w:val="00BE017F"/>
    <w:rsid w:val="00BF74AA"/>
    <w:rsid w:val="00C12902"/>
    <w:rsid w:val="00C529F4"/>
    <w:rsid w:val="00C931EF"/>
    <w:rsid w:val="00CA7A45"/>
    <w:rsid w:val="00CC49C7"/>
    <w:rsid w:val="00CE5E53"/>
    <w:rsid w:val="00D15E99"/>
    <w:rsid w:val="00D22CC8"/>
    <w:rsid w:val="00D72E5F"/>
    <w:rsid w:val="00DB2ED8"/>
    <w:rsid w:val="00DB440A"/>
    <w:rsid w:val="00DD5540"/>
    <w:rsid w:val="00E255C3"/>
    <w:rsid w:val="00E46CD0"/>
    <w:rsid w:val="00E727B3"/>
    <w:rsid w:val="00EB3DC7"/>
    <w:rsid w:val="00ED2A86"/>
    <w:rsid w:val="00F1755C"/>
    <w:rsid w:val="00F261F3"/>
    <w:rsid w:val="00F26E9F"/>
    <w:rsid w:val="00F53119"/>
    <w:rsid w:val="00FE4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40"/>
    <w:pPr>
      <w:suppressAutoHyphens/>
      <w:spacing w:after="200" w:line="276" w:lineRule="auto"/>
    </w:pPr>
    <w:rPr>
      <w:rFonts w:ascii="Calibri" w:eastAsia="Calibri" w:hAnsi="Calibri" w:cs="Calibri"/>
      <w:lang w:val="ru-RU" w:eastAsia="ar-SA"/>
    </w:rPr>
  </w:style>
  <w:style w:type="paragraph" w:styleId="1">
    <w:name w:val="heading 1"/>
    <w:basedOn w:val="a"/>
    <w:next w:val="a"/>
    <w:link w:val="10"/>
    <w:qFormat/>
    <w:rsid w:val="00574D40"/>
    <w:pPr>
      <w:keepNext/>
      <w:suppressAutoHyphens w:val="0"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D40"/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Absatz-Standardschriftart">
    <w:name w:val="Absatz-Standardschriftart"/>
    <w:rsid w:val="00574D40"/>
  </w:style>
  <w:style w:type="character" w:customStyle="1" w:styleId="11">
    <w:name w:val="Основной шрифт абзаца1"/>
    <w:rsid w:val="00574D40"/>
  </w:style>
  <w:style w:type="character" w:customStyle="1" w:styleId="apple-style-span">
    <w:name w:val="apple-style-span"/>
    <w:basedOn w:val="11"/>
    <w:rsid w:val="00574D40"/>
  </w:style>
  <w:style w:type="paragraph" w:customStyle="1" w:styleId="12">
    <w:name w:val="Заголовок1"/>
    <w:basedOn w:val="a"/>
    <w:next w:val="a3"/>
    <w:rsid w:val="00574D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rsid w:val="00574D40"/>
    <w:pPr>
      <w:spacing w:after="120"/>
    </w:pPr>
  </w:style>
  <w:style w:type="character" w:customStyle="1" w:styleId="a4">
    <w:name w:val="Основной текст Знак"/>
    <w:basedOn w:val="a0"/>
    <w:link w:val="a3"/>
    <w:rsid w:val="00574D40"/>
    <w:rPr>
      <w:rFonts w:ascii="Calibri" w:eastAsia="Calibri" w:hAnsi="Calibri" w:cs="Calibri"/>
      <w:lang w:val="ru-RU" w:eastAsia="ar-SA"/>
    </w:rPr>
  </w:style>
  <w:style w:type="paragraph" w:styleId="a5">
    <w:name w:val="List"/>
    <w:basedOn w:val="a3"/>
    <w:rsid w:val="00574D40"/>
    <w:rPr>
      <w:rFonts w:ascii="Arial" w:hAnsi="Arial" w:cs="Mangal"/>
    </w:rPr>
  </w:style>
  <w:style w:type="paragraph" w:customStyle="1" w:styleId="13">
    <w:name w:val="Название1"/>
    <w:basedOn w:val="a"/>
    <w:rsid w:val="00574D4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574D40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rsid w:val="00574D40"/>
    <w:pPr>
      <w:suppressLineNumbers/>
    </w:pPr>
  </w:style>
  <w:style w:type="paragraph" w:customStyle="1" w:styleId="a7">
    <w:name w:val="Заголовок таблицы"/>
    <w:basedOn w:val="a6"/>
    <w:rsid w:val="00574D40"/>
    <w:pPr>
      <w:jc w:val="center"/>
    </w:pPr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574D4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styleId="a8">
    <w:name w:val="No Spacing"/>
    <w:uiPriority w:val="1"/>
    <w:qFormat/>
    <w:rsid w:val="00574D40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574D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customStyle="1" w:styleId="a9">
    <w:name w:val="....... (...)"/>
    <w:basedOn w:val="a"/>
    <w:next w:val="a"/>
    <w:rsid w:val="00574D40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574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74D40"/>
    <w:rPr>
      <w:b/>
      <w:bCs/>
    </w:rPr>
  </w:style>
  <w:style w:type="paragraph" w:styleId="ac">
    <w:name w:val="List Paragraph"/>
    <w:basedOn w:val="a"/>
    <w:uiPriority w:val="34"/>
    <w:qFormat/>
    <w:rsid w:val="00574D40"/>
    <w:pPr>
      <w:ind w:left="720"/>
      <w:contextualSpacing/>
    </w:pPr>
  </w:style>
  <w:style w:type="paragraph" w:styleId="ad">
    <w:name w:val="caption"/>
    <w:basedOn w:val="a"/>
    <w:next w:val="a"/>
    <w:uiPriority w:val="35"/>
    <w:unhideWhenUsed/>
    <w:qFormat/>
    <w:rsid w:val="00574D4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D40"/>
    <w:rPr>
      <w:rFonts w:ascii="Tahoma" w:eastAsia="Calibri" w:hAnsi="Tahoma" w:cs="Tahoma"/>
      <w:sz w:val="16"/>
      <w:szCs w:val="16"/>
      <w:lang w:val="ru-RU" w:eastAsia="ar-SA"/>
    </w:rPr>
  </w:style>
  <w:style w:type="paragraph" w:customStyle="1" w:styleId="H-TextFormat">
    <w:name w:val="H-TextFormat"/>
    <w:next w:val="a"/>
    <w:uiPriority w:val="99"/>
    <w:qFormat/>
    <w:rsid w:val="00574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nrede1IhrZeichen">
    <w:name w:val="Anrede1IhrZeichen"/>
    <w:rsid w:val="00574D40"/>
    <w:rPr>
      <w:rFonts w:ascii="Arial" w:hAnsi="Arial"/>
      <w:sz w:val="22"/>
    </w:rPr>
  </w:style>
  <w:style w:type="paragraph" w:styleId="af0">
    <w:name w:val="header"/>
    <w:basedOn w:val="a"/>
    <w:link w:val="af1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74D40"/>
    <w:rPr>
      <w:rFonts w:ascii="Calibri" w:eastAsia="Calibri" w:hAnsi="Calibri" w:cs="Calibri"/>
      <w:lang w:val="ru-RU" w:eastAsia="ar-SA"/>
    </w:rPr>
  </w:style>
  <w:style w:type="paragraph" w:styleId="af2">
    <w:name w:val="footer"/>
    <w:basedOn w:val="a"/>
    <w:link w:val="af3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74D40"/>
    <w:rPr>
      <w:rFonts w:ascii="Calibri" w:eastAsia="Calibri" w:hAnsi="Calibri" w:cs="Calibri"/>
      <w:lang w:val="ru-RU" w:eastAsia="ar-SA"/>
    </w:rPr>
  </w:style>
  <w:style w:type="paragraph" w:customStyle="1" w:styleId="scfgruss">
    <w:name w:val="scf_gruss"/>
    <w:basedOn w:val="a"/>
    <w:rsid w:val="00574D40"/>
    <w:pPr>
      <w:keepNext/>
      <w:keepLines/>
      <w:tabs>
        <w:tab w:val="left" w:pos="5387"/>
      </w:tabs>
      <w:suppressAutoHyphens w:val="0"/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nutzer">
    <w:name w:val="scfnutzer"/>
    <w:basedOn w:val="a"/>
    <w:rsid w:val="00574D40"/>
    <w:pPr>
      <w:suppressAutoHyphens w:val="0"/>
      <w:spacing w:after="0" w:line="180" w:lineRule="exact"/>
    </w:pPr>
    <w:rPr>
      <w:rFonts w:ascii="Arial" w:eastAsia="Times New Roman" w:hAnsi="Arial" w:cs="Times New Roman"/>
      <w:noProof/>
      <w:sz w:val="16"/>
      <w:szCs w:val="20"/>
      <w:lang w:val="en-US" w:eastAsia="de-DE"/>
    </w:rPr>
  </w:style>
  <w:style w:type="paragraph" w:customStyle="1" w:styleId="scfAnschrift">
    <w:name w:val="scfAnschrift"/>
    <w:basedOn w:val="a"/>
    <w:rsid w:val="00574D40"/>
    <w:pPr>
      <w:tabs>
        <w:tab w:val="left" w:pos="1134"/>
      </w:tabs>
      <w:suppressAutoHyphens w:val="0"/>
      <w:spacing w:after="0" w:line="220" w:lineRule="exact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an">
    <w:name w:val="scf_an"/>
    <w:basedOn w:val="scfAnschrift"/>
    <w:next w:val="scfAnschrift"/>
    <w:rsid w:val="00574D40"/>
    <w:pPr>
      <w:spacing w:before="60"/>
    </w:pPr>
  </w:style>
  <w:style w:type="paragraph" w:customStyle="1" w:styleId="scfuz">
    <w:name w:val="scf_uz"/>
    <w:basedOn w:val="scfnutzer"/>
    <w:rsid w:val="00574D40"/>
  </w:style>
  <w:style w:type="paragraph" w:customStyle="1" w:styleId="normal">
    <w:name w:val="normal"/>
    <w:rsid w:val="00A56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 Знак1"/>
    <w:basedOn w:val="a"/>
    <w:link w:val="HTML0"/>
    <w:uiPriority w:val="99"/>
    <w:rsid w:val="00A56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 Знак1 Знак"/>
    <w:basedOn w:val="a0"/>
    <w:link w:val="HTML"/>
    <w:uiPriority w:val="99"/>
    <w:rsid w:val="00A5687D"/>
    <w:rPr>
      <w:rFonts w:ascii="Courier New" w:eastAsia="Times New Roman" w:hAnsi="Courier New" w:cs="Times New Roman"/>
      <w:sz w:val="20"/>
      <w:szCs w:val="20"/>
      <w:lang w:val="ru-RU" w:eastAsia="ru-RU"/>
    </w:rPr>
  </w:style>
  <w:style w:type="table" w:styleId="af4">
    <w:name w:val="Table Grid"/>
    <w:basedOn w:val="a1"/>
    <w:autoRedefine/>
    <w:hidden/>
    <w:uiPriority w:val="59"/>
    <w:qFormat/>
    <w:rsid w:val="004C76F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80444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  <w:style w:type="character" w:customStyle="1" w:styleId="il">
    <w:name w:val="il"/>
    <w:basedOn w:val="a0"/>
    <w:rsid w:val="000804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B862-E3E8-4822-8EF7-CD0E7CA7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Abdyrakhmanov, Asset (SHS EMEA RCA KAZ)</dc:creator>
  <cp:lastModifiedBy>Пользователь Windows</cp:lastModifiedBy>
  <cp:revision>7</cp:revision>
  <cp:lastPrinted>2024-11-15T09:38:00Z</cp:lastPrinted>
  <dcterms:created xsi:type="dcterms:W3CDTF">2024-11-15T09:40:00Z</dcterms:created>
  <dcterms:modified xsi:type="dcterms:W3CDTF">2024-11-20T05:59:00Z</dcterms:modified>
</cp:coreProperties>
</file>